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C14F" w14:textId="77777777" w:rsidR="003E39F1" w:rsidRDefault="00000000">
      <w:pPr>
        <w:jc w:val="center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Times New Roman"/>
          <w:b/>
          <w:sz w:val="28"/>
          <w:szCs w:val="28"/>
        </w:rPr>
        <w:t>Besluitenlijst Dagelijks Bestuur GR JW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3E39F1" w14:paraId="6DE48959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6516AD3E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201108C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30-10-2025</w:t>
            </w:r>
          </w:p>
        </w:tc>
      </w:tr>
      <w:tr w:rsidR="003E39F1" w14:paraId="6F4EBCEB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091901EB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F6B37F7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Gemeente Waddinxveen - Beurkenhof 1 - vergaderruimte 0.42</w:t>
            </w:r>
          </w:p>
        </w:tc>
      </w:tr>
      <w:tr w:rsidR="00544864" w14:paraId="3342CB81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AB27A6F" w14:textId="52C32940" w:rsidR="00544864" w:rsidRDefault="00544864" w:rsidP="00544864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Aanwezig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C0FBFED" w14:textId="716EADC7" w:rsidR="00544864" w:rsidRDefault="00544864" w:rsidP="00544864">
            <w:pPr>
              <w:rPr>
                <w:rFonts w:ascii="Arial" w:eastAsia="Times New Roman" w:hAnsi="Arial" w:cs="Times New Roman"/>
              </w:rPr>
            </w:pPr>
            <w:r w:rsidRPr="0084307B">
              <w:rPr>
                <w:rFonts w:ascii="Arial" w:eastAsia="Times New Roman" w:hAnsi="Arial" w:cs="Arial"/>
              </w:rPr>
              <w:t>Irma Bultman (wethouder Krimpenerwaard, voorzitter)</w:t>
            </w:r>
            <w:r>
              <w:rPr>
                <w:rFonts w:ascii="Arial" w:eastAsia="Times New Roman" w:hAnsi="Arial" w:cs="Arial"/>
              </w:rPr>
              <w:t>,</w:t>
            </w:r>
            <w:r w:rsidRPr="0084307B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Ineke Schaddelee</w:t>
            </w:r>
            <w:r w:rsidRPr="0084307B">
              <w:rPr>
                <w:rFonts w:ascii="Arial" w:eastAsia="Times New Roman" w:hAnsi="Arial" w:cs="Arial"/>
              </w:rPr>
              <w:t xml:space="preserve"> (wethouder Gouda), Dirk-Jan Knol (wethouder Bodegraven-Reeuwijk), Frans Klovert (</w:t>
            </w:r>
            <w:r>
              <w:rPr>
                <w:rFonts w:ascii="Arial" w:eastAsia="Times New Roman" w:hAnsi="Arial" w:cs="Arial"/>
              </w:rPr>
              <w:t>w</w:t>
            </w:r>
            <w:r w:rsidRPr="0084307B">
              <w:rPr>
                <w:rFonts w:ascii="Arial" w:eastAsia="Times New Roman" w:hAnsi="Arial" w:cs="Arial"/>
              </w:rPr>
              <w:t xml:space="preserve">ethouder Zuidplas), Femke </w:t>
            </w:r>
            <w:proofErr w:type="spellStart"/>
            <w:r w:rsidRPr="0084307B">
              <w:rPr>
                <w:rFonts w:ascii="Arial" w:eastAsia="Times New Roman" w:hAnsi="Arial" w:cs="Arial"/>
              </w:rPr>
              <w:t>Vleij</w:t>
            </w:r>
            <w:proofErr w:type="spellEnd"/>
            <w:r w:rsidRPr="0084307B">
              <w:rPr>
                <w:rFonts w:ascii="Arial" w:eastAsia="Times New Roman" w:hAnsi="Arial" w:cs="Arial"/>
              </w:rPr>
              <w:t xml:space="preserve"> (wethouder Waddinxveen), Bart van der Schelde (secretaris directeur GR JW), Dave Coenraad (controller), Barbara Wapstra (directie adviseur), Baloe Bentley (verslag)</w:t>
            </w:r>
            <w:r>
              <w:rPr>
                <w:rFonts w:ascii="Arial" w:eastAsia="Times New Roman" w:hAnsi="Arial" w:cs="Arial"/>
              </w:rPr>
              <w:t xml:space="preserve">, Marco van der Zwam </w:t>
            </w:r>
            <w:r w:rsidRPr="00C327BA">
              <w:rPr>
                <w:rFonts w:ascii="Arial" w:eastAsia="Times New Roman" w:hAnsi="Arial" w:cs="Arial"/>
              </w:rPr>
              <w:t>(agendapunt 6 en 7)</w:t>
            </w:r>
          </w:p>
        </w:tc>
      </w:tr>
    </w:tbl>
    <w:p w14:paraId="2485D6A0" w14:textId="77777777" w:rsidR="003E39F1" w:rsidRDefault="003E39F1">
      <w:pPr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3E39F1" w14:paraId="120B01AB" w14:textId="77777777">
        <w:tc>
          <w:tcPr>
            <w:tcW w:w="1124" w:type="dxa"/>
            <w:shd w:val="clear" w:color="auto" w:fill="E7E6E6" w:themeFill="background2"/>
          </w:tcPr>
          <w:p w14:paraId="3D878BE5" w14:textId="77777777" w:rsidR="003E39F1" w:rsidRDefault="003E39F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140EACE1" w14:textId="77777777" w:rsidR="003E39F1" w:rsidRDefault="003E39F1">
            <w:pPr>
              <w:rPr>
                <w:rFonts w:ascii="Arial" w:eastAsia="Times New Roman" w:hAnsi="Arial" w:cs="Times New Roman"/>
              </w:rPr>
            </w:pPr>
          </w:p>
        </w:tc>
      </w:tr>
      <w:tr w:rsidR="003E39F1" w14:paraId="06A4A8E6" w14:textId="77777777">
        <w:tc>
          <w:tcPr>
            <w:tcW w:w="1124" w:type="dxa"/>
          </w:tcPr>
          <w:p w14:paraId="4B4BAD00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1</w:t>
            </w:r>
          </w:p>
          <w:p w14:paraId="3138B576" w14:textId="782456D6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7964F40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Opening en vaststelling agenda</w:t>
            </w:r>
          </w:p>
          <w:p w14:paraId="0C6B2CDC" w14:textId="77777777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E39F1" w14:paraId="32517A74" w14:textId="77777777">
        <w:tc>
          <w:tcPr>
            <w:tcW w:w="1124" w:type="dxa"/>
          </w:tcPr>
          <w:p w14:paraId="75F04323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2</w:t>
            </w:r>
          </w:p>
          <w:p w14:paraId="1D4C8FC7" w14:textId="252454BE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D3474BA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Mededelingen en ingekomen stukken</w:t>
            </w:r>
          </w:p>
          <w:p w14:paraId="006EB63A" w14:textId="77777777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E39F1" w14:paraId="303D3F9F" w14:textId="77777777">
        <w:tc>
          <w:tcPr>
            <w:tcW w:w="1124" w:type="dxa"/>
          </w:tcPr>
          <w:p w14:paraId="7AD3947F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3</w:t>
            </w:r>
          </w:p>
          <w:p w14:paraId="21F4C81C" w14:textId="7DD3C061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6AD8EB2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Vaststellen verslag/besluitenlijst vorig overleg</w:t>
            </w:r>
          </w:p>
          <w:p w14:paraId="1C8E8464" w14:textId="77777777" w:rsidR="003E39F1" w:rsidRDefault="00000000">
            <w:pPr>
              <w:divId w:val="1636567344"/>
            </w:pPr>
            <w:r>
              <w:rPr>
                <w:rStyle w:val="Zwaar"/>
                <w:rFonts w:ascii="Arial" w:hAnsi="Arial" w:cs="Arial"/>
              </w:rPr>
              <w:t>Het dagelijks bestuur van de GR JW besluit:</w:t>
            </w:r>
            <w:r>
              <w:rPr>
                <w:rFonts w:ascii="Arial" w:hAnsi="Arial" w:cs="Arial"/>
              </w:rPr>
              <w:br/>
              <w:t>- De besluitenlijst van de vergadering van 4 september 2025 vast te stellen.</w:t>
            </w:r>
          </w:p>
          <w:p w14:paraId="2279A860" w14:textId="77777777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E39F1" w14:paraId="2F8FA41B" w14:textId="77777777">
        <w:tc>
          <w:tcPr>
            <w:tcW w:w="1124" w:type="dxa"/>
          </w:tcPr>
          <w:p w14:paraId="38BE7AF2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4</w:t>
            </w:r>
          </w:p>
          <w:p w14:paraId="7E7F7AFD" w14:textId="3F8854C1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B9E3D62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Vaststellen vergaderdata DB 2026</w:t>
            </w:r>
          </w:p>
          <w:p w14:paraId="5FC7D013" w14:textId="77777777" w:rsidR="003E39F1" w:rsidRDefault="00000000">
            <w:pPr>
              <w:divId w:val="1270371360"/>
            </w:pPr>
            <w:r>
              <w:rPr>
                <w:rStyle w:val="Zwaar"/>
                <w:rFonts w:ascii="Arial" w:hAnsi="Arial" w:cs="Arial"/>
              </w:rPr>
              <w:t>Het dagelijks bestuur van de GR JW besluit:</w:t>
            </w:r>
            <w:r>
              <w:rPr>
                <w:rFonts w:ascii="Arial" w:hAnsi="Arial" w:cs="Arial"/>
              </w:rPr>
              <w:br/>
              <w:t>De geplande data voor de DB overleggen in 2026 vast te stellen.</w:t>
            </w:r>
          </w:p>
          <w:p w14:paraId="0F8655A0" w14:textId="77777777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E39F1" w14:paraId="034D13BA" w14:textId="77777777">
        <w:tc>
          <w:tcPr>
            <w:tcW w:w="1124" w:type="dxa"/>
          </w:tcPr>
          <w:p w14:paraId="34977680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5</w:t>
            </w:r>
          </w:p>
          <w:p w14:paraId="31A9EC69" w14:textId="6C285258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EDF3ECD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Memo tarieven JZ+</w:t>
            </w:r>
          </w:p>
          <w:p w14:paraId="35792354" w14:textId="77777777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E39F1" w14:paraId="71DCADFE" w14:textId="77777777">
        <w:tc>
          <w:tcPr>
            <w:tcW w:w="1124" w:type="dxa"/>
          </w:tcPr>
          <w:p w14:paraId="3EFA819D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6</w:t>
            </w:r>
          </w:p>
          <w:p w14:paraId="2B4B42F9" w14:textId="61EBD8D4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1551A43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Subsidiebesluit Jeugdhulp op School (JOS)</w:t>
            </w:r>
          </w:p>
          <w:p w14:paraId="51789583" w14:textId="77777777" w:rsidR="003E39F1" w:rsidRDefault="00000000">
            <w:pPr>
              <w:divId w:val="588412216"/>
            </w:pPr>
            <w:r>
              <w:rPr>
                <w:rStyle w:val="Zwaar"/>
                <w:rFonts w:ascii="Arial" w:hAnsi="Arial" w:cs="Arial"/>
              </w:rPr>
              <w:t>Het dagelijks bestuur van de GR JW besluit</w:t>
            </w:r>
            <w:r>
              <w:rPr>
                <w:rFonts w:ascii="Arial" w:hAnsi="Arial" w:cs="Arial"/>
              </w:rPr>
              <w:t>*</w:t>
            </w:r>
            <w:proofErr w:type="gramStart"/>
            <w:r>
              <w:rPr>
                <w:rFonts w:ascii="Arial" w:hAnsi="Arial" w:cs="Arial"/>
              </w:rPr>
              <w:t>*:*</w:t>
            </w:r>
            <w:proofErr w:type="gramEnd"/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br/>
              <w:t>1. De uitvoering van JOS voor de periode 2026-2031 toe te wijzen aan Kwadraad / De Vluchtheuvel</w:t>
            </w:r>
            <w:r>
              <w:rPr>
                <w:rFonts w:ascii="Arial" w:hAnsi="Arial" w:cs="Arial"/>
              </w:rPr>
              <w:br/>
              <w:t>2. Het financieel kader vast te stellen op € 867.035,95 (prijspeil 2026) voor de periode 2026-2031 en jaarlijks te indexeren.</w:t>
            </w:r>
          </w:p>
          <w:p w14:paraId="1A0CA32D" w14:textId="77777777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E39F1" w14:paraId="2B855B3E" w14:textId="77777777">
        <w:tc>
          <w:tcPr>
            <w:tcW w:w="1124" w:type="dxa"/>
          </w:tcPr>
          <w:p w14:paraId="3A0BCF67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7</w:t>
            </w:r>
          </w:p>
          <w:p w14:paraId="72206C12" w14:textId="2FEA155B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0DEDD95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Inkoop crisisdienst en coördinatie spoedzorg</w:t>
            </w:r>
          </w:p>
          <w:p w14:paraId="07DBA2B9" w14:textId="77777777" w:rsidR="003E39F1" w:rsidRDefault="00000000">
            <w:pPr>
              <w:divId w:val="34630391"/>
            </w:pPr>
            <w:r>
              <w:rPr>
                <w:rStyle w:val="Zwaar"/>
                <w:rFonts w:ascii="Arial" w:hAnsi="Arial" w:cs="Arial"/>
              </w:rPr>
              <w:t>Het dagelijks bestuur van de GR JW besluit</w:t>
            </w:r>
            <w:r>
              <w:rPr>
                <w:rFonts w:ascii="Arial" w:hAnsi="Arial" w:cs="Arial"/>
              </w:rPr>
              <w:t>*</w:t>
            </w:r>
            <w:proofErr w:type="gramStart"/>
            <w:r>
              <w:rPr>
                <w:rFonts w:ascii="Arial" w:hAnsi="Arial" w:cs="Arial"/>
              </w:rPr>
              <w:t>*:*</w:t>
            </w:r>
            <w:proofErr w:type="gramEnd"/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br/>
              <w:t>1. Opdracht te verlenen aan Rivierduinen voor het bieden van een crisisdienst jeugd GGZ en de spoedzorgcoördinatie voor de periode 1 januari 2026 tot en met 31 december 2029 met de mogelijkheid deze te verlengen tot uiterlijk 31 december 2035.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Het 2e besluit wordt aangepast vanwege nieuwe informatie. Er wordt uitgegaan van 60 meldingen i.p.v. 75, waardoor de kosten lager uitvallen. Het voorstel wordt hierop aangepast en komt 4 december terug in DB.</w:t>
            </w:r>
          </w:p>
          <w:p w14:paraId="0FFE5812" w14:textId="77777777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E39F1" w14:paraId="2D03B819" w14:textId="77777777">
        <w:tc>
          <w:tcPr>
            <w:tcW w:w="1124" w:type="dxa"/>
          </w:tcPr>
          <w:p w14:paraId="360A35E9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8</w:t>
            </w:r>
          </w:p>
          <w:p w14:paraId="40C3040F" w14:textId="424223D1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47F9A2E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Afwikkeling resultaten 2024 RWO en centrumtaken</w:t>
            </w:r>
          </w:p>
          <w:p w14:paraId="2CE93F5A" w14:textId="77777777" w:rsidR="00544864" w:rsidRDefault="00000000">
            <w:pPr>
              <w:divId w:val="8836402"/>
              <w:rPr>
                <w:rFonts w:ascii="Arial" w:hAnsi="Arial" w:cs="Arial"/>
              </w:rPr>
            </w:pPr>
            <w:r>
              <w:rPr>
                <w:rStyle w:val="Zwaar"/>
                <w:rFonts w:ascii="Arial" w:hAnsi="Arial" w:cs="Arial"/>
              </w:rPr>
              <w:t>Het Dagelijks Bestuur van de GR JW besluit:</w:t>
            </w:r>
            <w:r>
              <w:rPr>
                <w:rFonts w:ascii="Arial" w:hAnsi="Arial" w:cs="Arial"/>
              </w:rPr>
              <w:br/>
              <w:t>1. Het positieve resultaat 2024 van de voormalige Regionale Werkorganisatie (RWO) van € 708.000 als volgt te bestemmen: • € 250.000 te reserveren voor de onderzoeken naar huisvesting en formatie in 2026, conform de toelichting in de begroting 2026 van de GR JW; • € 380.000 in te zetten voor dekking van de frictiekosten bij de gemeente Gouda die samenhangen met de oprichting van de GR JW en de afbouw van bedrijfsvoeringsdiensten; • het resterende saldo van € 78.000 door de gemeente Gouda te laten uitkeren aan de deelnemende gemeenten op basis van de verdeelsleutel ‘inwoners’.</w:t>
            </w:r>
          </w:p>
          <w:p w14:paraId="63C35F3D" w14:textId="3E0DA7C0" w:rsidR="003E39F1" w:rsidRDefault="00000000">
            <w:pPr>
              <w:divId w:val="8836402"/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lastRenderedPageBreak/>
              <w:t>2. Het positieve resultaat 2024 met betrekking tot het Regionaal Zorgaanbod van € 567.000 als volgt te bestemmen: • € 108.000 over te dragen aan de GR JW en in 2025 als opbrengst op te nemen binnen het programma Regionaal Zorgaanbod naar rato van de bijdragen 2024; • het resterende saldo van € 459.000 uit te keren aan de deelnemende gemeenten op basis van de verdeelsleutel ‘jeugdigen’: o € 220.000 via de GR JW o € 239.000 door de gemeente Gouda uit te keren aan de deelnemende gemeenten.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3. Kennis te nemen van: • de resultaten van de Centrumtaken (MO/VO/BW/Actieplan Dakloosheid) ad. 1.835.000 die via de jaarrekening 2024 van Gouda zijn verantwoord; • de overdracht van de reserve MO/VO/BW ad. € 8.170.000 (incl. toevoeging aan de reserve vanuit resultaatbestemming 2024) aan de GR JW; • de overdracht van de resterende middelen m.b.t. Actieplan Dakloosheid ad. € 493.750 aan de GR JW; • de overdracht van de door gemeente Gouda ontvangen terugvorderingen ad. € 359.861 aan de GR JW; deze zullen door GR JW worden uitbetaald aan de gemeenten op basis van de kosten voor zorggebruik; • de onderbesteding SPUK IZA 2024 ad. € 440.000 die conform de rijksregeling is/wordt terugbetaald aan het Rijk vanuit gemeente Gouda.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4. Het Algemeen Bestuur voor te stellen om een bestemmingsreserve MO/VO/BW te vormen ter hoogte van € 8.170.000, vanuit de door de gemeente Gouda overgedragen middelen die betrekking hebben op de centrumtaken Maatschappelijke Opvang, Vrouwenopvang en Beschermd Wonen.</w:t>
            </w:r>
          </w:p>
          <w:p w14:paraId="5929A09E" w14:textId="77777777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E39F1" w14:paraId="0237E5C3" w14:textId="77777777">
        <w:tc>
          <w:tcPr>
            <w:tcW w:w="1124" w:type="dxa"/>
          </w:tcPr>
          <w:p w14:paraId="02BA63BD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9</w:t>
            </w:r>
          </w:p>
          <w:p w14:paraId="4390F62B" w14:textId="7E64E802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B40A56B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2e bestuursrapportage GR JW 2025</w:t>
            </w:r>
          </w:p>
          <w:p w14:paraId="7CA3E25B" w14:textId="6757531F" w:rsidR="003E39F1" w:rsidRDefault="00000000">
            <w:pPr>
              <w:divId w:val="1190820336"/>
            </w:pPr>
            <w:r>
              <w:rPr>
                <w:rStyle w:val="Zwaar"/>
                <w:rFonts w:ascii="Arial" w:hAnsi="Arial" w:cs="Arial"/>
              </w:rPr>
              <w:t>Het dagelijks bestuur van de GR JW besluit:</w:t>
            </w:r>
            <w:r>
              <w:rPr>
                <w:rFonts w:ascii="Arial" w:hAnsi="Arial" w:cs="Arial"/>
              </w:rPr>
              <w:br/>
              <w:t>1. De 2e bestuursrapportage 2025 met een tekstuele aanpassingvast te stellen en ter besluitvorming aan te bieden aan het Algemeen Bestuur, met daarbij de volgende voorstellen aan het AB:</w:t>
            </w:r>
            <w:r>
              <w:rPr>
                <w:rFonts w:ascii="Arial" w:hAnsi="Arial" w:cs="Arial"/>
              </w:rPr>
              <w:br/>
              <w:t>a. Het voornemen uit te spreken om het overschot op het incidentele budget ‘Organisatie GR JW’ over te hevelen naar 2026, waarbij de definitieve besluitvorming plaatsvindt bij de jaarrekening 2025 (resultaatbestemming).</w:t>
            </w:r>
            <w:r>
              <w:rPr>
                <w:rFonts w:ascii="Arial" w:hAnsi="Arial" w:cs="Arial"/>
              </w:rPr>
              <w:br/>
              <w:t>b. Binnen het programma Maatschappelijke Zorg ruimte te bieden voor facturatie van lokale inzet binnen de doelstellingen van dit programma.</w:t>
            </w:r>
          </w:p>
          <w:p w14:paraId="333137D6" w14:textId="77777777" w:rsidR="003E39F1" w:rsidRDefault="003E39F1" w:rsidP="00544864">
            <w:pPr>
              <w:divId w:val="1879938977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E39F1" w14:paraId="7C7E2CD5" w14:textId="77777777">
        <w:tc>
          <w:tcPr>
            <w:tcW w:w="1124" w:type="dxa"/>
          </w:tcPr>
          <w:p w14:paraId="35761539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10</w:t>
            </w:r>
          </w:p>
          <w:p w14:paraId="0E190C12" w14:textId="002581D4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1F0C948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Raadsvragen regiovisie</w:t>
            </w:r>
          </w:p>
          <w:p w14:paraId="00AD6939" w14:textId="77777777" w:rsidR="003E39F1" w:rsidRDefault="00000000">
            <w:pPr>
              <w:divId w:val="954270236"/>
            </w:pPr>
            <w:r>
              <w:rPr>
                <w:rStyle w:val="Zwaar"/>
                <w:rFonts w:ascii="Arial" w:hAnsi="Arial" w:cs="Arial"/>
              </w:rPr>
              <w:t>Het dagelijks bestuur van de GRJW besluit:</w:t>
            </w:r>
            <w:r>
              <w:rPr>
                <w:rFonts w:ascii="Arial" w:hAnsi="Arial" w:cs="Arial"/>
              </w:rPr>
              <w:br/>
              <w:t>- In te stemmen met de beantwoording van de raadsvragen.</w:t>
            </w:r>
            <w:r>
              <w:rPr>
                <w:rFonts w:ascii="Arial" w:hAnsi="Arial" w:cs="Arial"/>
              </w:rPr>
              <w:br/>
              <w:t>- De tekst in de aanbiedingsbrief tekstueel aan te passen en na akkoord van de bestuurlijk trekker (Irma) de brief met beantwoording toe te zenden aan de gemeenteraden.</w:t>
            </w:r>
          </w:p>
          <w:p w14:paraId="17AA54A6" w14:textId="77777777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E39F1" w14:paraId="689647CA" w14:textId="77777777">
        <w:tc>
          <w:tcPr>
            <w:tcW w:w="1124" w:type="dxa"/>
          </w:tcPr>
          <w:p w14:paraId="0F8AEC7E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11</w:t>
            </w:r>
          </w:p>
          <w:p w14:paraId="5F9F5871" w14:textId="52693EEE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F10C981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Jeugdmatch</w:t>
            </w:r>
          </w:p>
          <w:p w14:paraId="71A4AE29" w14:textId="77777777" w:rsidR="003E39F1" w:rsidRDefault="00000000">
            <w:pPr>
              <w:divId w:val="51751671"/>
            </w:pPr>
            <w:r>
              <w:rPr>
                <w:rStyle w:val="Zwaar"/>
                <w:rFonts w:ascii="Arial" w:hAnsi="Arial" w:cs="Arial"/>
              </w:rPr>
              <w:t>Het dagelijks bestuur van de GRJW besluit:</w:t>
            </w:r>
            <w:r>
              <w:rPr>
                <w:rFonts w:ascii="Arial" w:hAnsi="Arial" w:cs="Arial"/>
              </w:rPr>
              <w:br/>
              <w:t>1. Vast te stellen dat de wettelijke taak “functioneel beheer van Jeugdmatch (regionale verwijsindex risicojongeren)” vanaf 1 januari 2026 door de GRJW wordt behartigd.</w:t>
            </w:r>
            <w:r>
              <w:rPr>
                <w:rFonts w:ascii="Arial" w:hAnsi="Arial" w:cs="Arial"/>
              </w:rPr>
              <w:br/>
              <w:t>2. Het bestaande contract met MultiSignaal met ingang van 1 januari 2026 uit te breiden met het functioneel applicatiebeheer van Jeugdmatch.</w:t>
            </w:r>
            <w:r>
              <w:rPr>
                <w:rFonts w:ascii="Arial" w:hAnsi="Arial" w:cs="Arial"/>
              </w:rPr>
              <w:br/>
              <w:t>3. De kosten van deze uitbreiding van ca. €20.000 in 2026 te dekken vanuit de begroting van de GRJW.</w:t>
            </w:r>
          </w:p>
          <w:p w14:paraId="55BA5686" w14:textId="77777777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E39F1" w14:paraId="71E1FA13" w14:textId="77777777">
        <w:tc>
          <w:tcPr>
            <w:tcW w:w="1124" w:type="dxa"/>
          </w:tcPr>
          <w:p w14:paraId="684D0CE9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12</w:t>
            </w:r>
          </w:p>
          <w:p w14:paraId="6EF54280" w14:textId="1DB8B7A0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2050C01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Terugkoppeling vanuit bestuurlijk trekkers</w:t>
            </w:r>
          </w:p>
          <w:p w14:paraId="26AA6499" w14:textId="77777777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3E39F1" w14:paraId="10C4AAD4" w14:textId="77777777">
        <w:tc>
          <w:tcPr>
            <w:tcW w:w="1124" w:type="dxa"/>
          </w:tcPr>
          <w:p w14:paraId="0543A976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13</w:t>
            </w:r>
          </w:p>
          <w:p w14:paraId="0FC8BF67" w14:textId="39F2411D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3639A5A" w14:textId="77777777" w:rsidR="003E39F1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Rondvraag en sluiting</w:t>
            </w:r>
          </w:p>
          <w:p w14:paraId="3F25308F" w14:textId="77777777" w:rsidR="003E39F1" w:rsidRDefault="003E39F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63DA486D" w14:textId="77777777" w:rsidR="003E39F1" w:rsidRDefault="003E39F1"/>
    <w:sectPr w:rsidR="003E39F1" w:rsidSect="00C349B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B247" w14:textId="77777777" w:rsidR="006874C1" w:rsidRDefault="006874C1">
      <w:pPr>
        <w:spacing w:after="0" w:line="240" w:lineRule="auto"/>
      </w:pPr>
      <w:r>
        <w:separator/>
      </w:r>
    </w:p>
  </w:endnote>
  <w:endnote w:type="continuationSeparator" w:id="0">
    <w:p w14:paraId="160D0133" w14:textId="77777777" w:rsidR="006874C1" w:rsidRDefault="0068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12A5" w14:textId="77777777" w:rsidR="007B6497" w:rsidRDefault="00000000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535417C9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9918" w14:textId="77777777" w:rsidR="006874C1" w:rsidRDefault="006874C1">
      <w:pPr>
        <w:spacing w:after="0" w:line="240" w:lineRule="auto"/>
      </w:pPr>
      <w:r>
        <w:separator/>
      </w:r>
    </w:p>
  </w:footnote>
  <w:footnote w:type="continuationSeparator" w:id="0">
    <w:p w14:paraId="563D3A95" w14:textId="77777777" w:rsidR="006874C1" w:rsidRDefault="0068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47C1" w14:textId="77777777" w:rsidR="003E39F1" w:rsidRDefault="003E39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7FA8" w14:textId="77777777" w:rsidR="003E39F1" w:rsidRDefault="00000000">
    <w:r>
      <w:rPr>
        <w:noProof/>
      </w:rPr>
      <w:drawing>
        <wp:inline distT="0" distB="0" distL="0" distR="0" wp14:anchorId="2E157EA6" wp14:editId="09A8646D">
          <wp:extent cx="1600423" cy="428684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423" cy="42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330932"/>
    <w:rsid w:val="003E39F1"/>
    <w:rsid w:val="00486452"/>
    <w:rsid w:val="00544864"/>
    <w:rsid w:val="006874C1"/>
    <w:rsid w:val="007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26F61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Arial" w:eastAsia="Times New Roman" w:hAnsi="Arial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Arial" w:eastAsia="Times New Roman" w:hAnsi="Arial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Arial" w:eastAsia="Times New Roman" w:hAnsi="Arial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Arial" w:eastAsia="Times New Roman" w:hAnsi="Arial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Arial" w:eastAsia="Times New Roman" w:hAnsi="Arial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Arial" w:eastAsia="Times New Roman" w:hAnsi="Arial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506D7A"/>
    <w:rPr>
      <w:i/>
      <w:iCs/>
    </w:rPr>
  </w:style>
  <w:style w:type="character" w:styleId="Zwaar">
    <w:name w:val="Strong"/>
    <w:basedOn w:val="Standaardalinea-lettertype"/>
    <w:uiPriority w:val="22"/>
    <w:qFormat/>
    <w:rsid w:val="00506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4599</Characters>
  <Application>Microsoft Office Word</Application>
  <DocSecurity>0</DocSecurity>
  <Lines>139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grjw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Besluitenlijst Dagelijks Bestuur GR JW 30 oktober 2025</dc:title>
  <dc:creator>iBabs</dc:creator>
  <cp:lastModifiedBy>Baloe Bentley</cp:lastModifiedBy>
  <cp:revision>2</cp:revision>
  <dcterms:created xsi:type="dcterms:W3CDTF">2026-01-06T09:15:00Z</dcterms:created>
  <dcterms:modified xsi:type="dcterms:W3CDTF">2026-01-06T09:15:00Z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2026-01-06T09:15:13Z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2459143e-c8a4-481b-a173-0e7566ba74a1</vt:lpwstr>
  </property>
  <property fmtid="{D5CDD505-2E9C-101B-9397-08002B2CF9AE}" pid="7" name="MSIP_Label_defa4170-0d19-0005-0004-bc88714345d2_ActionId">
    <vt:lpwstr>f9dcba1a-9277-46eb-8139-0d6574c63562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