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055D87" w14:paraId="077E4273" w14:textId="77777777" w:rsidTr="0010133B">
        <w:trPr>
          <w:trHeight w:val="1247"/>
        </w:trPr>
        <w:tc>
          <w:tcPr>
            <w:tcW w:w="1510" w:type="dxa"/>
            <w:vAlign w:val="center"/>
          </w:tcPr>
          <w:p w14:paraId="20AD9312" w14:textId="6B45BE83" w:rsidR="00835F83" w:rsidRPr="00DA3E2C" w:rsidRDefault="00835F83" w:rsidP="0010133B">
            <w:pPr>
              <w:rPr>
                <w:sz w:val="56"/>
                <w:szCs w:val="56"/>
              </w:rPr>
            </w:pPr>
            <w:r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z w:val="56"/>
                <w:szCs w:val="56"/>
                <w:shd w:val="clear" w:color="auto" w:fill="FFFFFF"/>
              </w:rPr>
              <w:t>A</w:t>
            </w:r>
            <w:r w:rsidRPr="00DA3E2C">
              <w:rPr>
                <w:rStyle w:val="pspdfkit-6fq5ysqkmc2gc1fek9b659qfh8"/>
                <w:b/>
                <w:color w:val="000000"/>
                <w:spacing w:val="40"/>
                <w:sz w:val="56"/>
                <w:szCs w:val="56"/>
                <w:shd w:val="clear" w:color="auto" w:fill="FFFFFF"/>
              </w:rPr>
              <w:t>.</w:t>
            </w:r>
            <w:r w:rsidR="0086116E">
              <w:rPr>
                <w:rStyle w:val="pspdfkit-6fq5ysqkmc2gc1fek9b659qfh8"/>
                <w:b/>
                <w:color w:val="000000"/>
                <w:spacing w:val="40"/>
                <w:sz w:val="56"/>
                <w:szCs w:val="56"/>
                <w:shd w:val="clear" w:color="auto" w:fill="FFFFFF"/>
              </w:rPr>
              <w:t>3</w:t>
            </w:r>
          </w:p>
        </w:tc>
        <w:tc>
          <w:tcPr>
            <w:tcW w:w="1510" w:type="dxa"/>
          </w:tcPr>
          <w:p w14:paraId="3DEFE13F" w14:textId="77777777" w:rsidR="00835F83" w:rsidRDefault="00835F83" w:rsidP="0010133B">
            <w:pPr>
              <w:jc w:val="right"/>
            </w:pPr>
          </w:p>
        </w:tc>
        <w:tc>
          <w:tcPr>
            <w:tcW w:w="1510" w:type="dxa"/>
          </w:tcPr>
          <w:p w14:paraId="36A10135" w14:textId="77777777" w:rsidR="00835F83" w:rsidRDefault="00835F83" w:rsidP="0010133B">
            <w:pPr>
              <w:jc w:val="right"/>
            </w:pPr>
          </w:p>
        </w:tc>
        <w:tc>
          <w:tcPr>
            <w:tcW w:w="1510" w:type="dxa"/>
          </w:tcPr>
          <w:p w14:paraId="59B8277E" w14:textId="499D63AF" w:rsidR="00835F83" w:rsidRDefault="00835F83" w:rsidP="0010133B">
            <w:pPr>
              <w:jc w:val="right"/>
            </w:pPr>
          </w:p>
        </w:tc>
        <w:tc>
          <w:tcPr>
            <w:tcW w:w="1510" w:type="dxa"/>
          </w:tcPr>
          <w:p w14:paraId="08CFF36E" w14:textId="44050DDE" w:rsidR="00835F83" w:rsidRDefault="00055D87" w:rsidP="0010133B">
            <w:pPr>
              <w:jc w:val="right"/>
            </w:pPr>
            <w:r>
              <w:rPr>
                <w:rFonts w:cs="Calibr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65A3564" wp14:editId="1E5A769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20955</wp:posOffset>
                  </wp:positionV>
                  <wp:extent cx="781050" cy="732790"/>
                  <wp:effectExtent l="0" t="0" r="0" b="0"/>
                  <wp:wrapNone/>
                  <wp:docPr id="1397001335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001335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14:paraId="2CBA7098" w14:textId="10F1C8F4" w:rsidR="00835F83" w:rsidRDefault="00C803F4" w:rsidP="0010133B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C43141" wp14:editId="587EBE5B">
                  <wp:simplePos x="0" y="0"/>
                  <wp:positionH relativeFrom="column">
                    <wp:posOffset>-145415</wp:posOffset>
                  </wp:positionH>
                  <wp:positionV relativeFrom="paragraph">
                    <wp:posOffset>68580</wp:posOffset>
                  </wp:positionV>
                  <wp:extent cx="1101090" cy="609600"/>
                  <wp:effectExtent l="0" t="0" r="3810" b="0"/>
                  <wp:wrapNone/>
                  <wp:docPr id="252694421" name="Afbeelding 1" descr="Dorpsvi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rpsvis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7" t="4042" r="42333" b="7069"/>
                          <a:stretch/>
                        </pic:blipFill>
                        <pic:spPr bwMode="auto">
                          <a:xfrm>
                            <a:off x="0" y="0"/>
                            <a:ext cx="11010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5F83" w14:paraId="3F689BF9" w14:textId="77777777" w:rsidTr="0010133B">
        <w:trPr>
          <w:trHeight w:val="340"/>
        </w:trPr>
        <w:tc>
          <w:tcPr>
            <w:tcW w:w="9061" w:type="dxa"/>
            <w:gridSpan w:val="6"/>
            <w:vAlign w:val="center"/>
          </w:tcPr>
          <w:p w14:paraId="11C7F758" w14:textId="3164B2DD" w:rsidR="00835F83" w:rsidRDefault="00835F83" w:rsidP="0010133B">
            <w:pPr>
              <w:tabs>
                <w:tab w:val="right" w:pos="9060"/>
              </w:tabs>
            </w:pPr>
            <w:r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hd w:val="clear" w:color="auto" w:fill="FFFFFF"/>
              </w:rPr>
              <w:t>AMENDEMENT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ab/>
            </w:r>
            <w:r w:rsidRPr="00CD1043">
              <w:rPr>
                <w:rFonts w:asciiTheme="minorHAnsi" w:eastAsiaTheme="minorHAnsi" w:hAnsiTheme="minorHAnsi" w:cs="Calibri"/>
              </w:rPr>
              <w:t>Documentnummer</w:t>
            </w:r>
            <w:r>
              <w:rPr>
                <w:rFonts w:asciiTheme="minorHAnsi" w:eastAsiaTheme="minorHAnsi" w:hAnsiTheme="minorHAnsi" w:cs="Calibri"/>
              </w:rPr>
              <w:t xml:space="preserve">: </w:t>
            </w:r>
            <w:r w:rsidR="00A0609E">
              <w:rPr>
                <w:rFonts w:asciiTheme="minorHAnsi" w:eastAsiaTheme="minorHAnsi" w:hAnsiTheme="minorHAnsi" w:cs="Calibri"/>
              </w:rPr>
              <w:t>2027146</w:t>
            </w:r>
          </w:p>
        </w:tc>
      </w:tr>
      <w:tr w:rsidR="00835F83" w14:paraId="15ED77FE" w14:textId="77777777" w:rsidTr="0010133B">
        <w:trPr>
          <w:trHeight w:val="340"/>
        </w:trPr>
        <w:tc>
          <w:tcPr>
            <w:tcW w:w="9061" w:type="dxa"/>
            <w:gridSpan w:val="6"/>
            <w:vAlign w:val="center"/>
          </w:tcPr>
          <w:p w14:paraId="2B34715B" w14:textId="3DB27FFD" w:rsidR="00835F83" w:rsidRDefault="00D73EC6" w:rsidP="0010133B">
            <w:r>
              <w:t>Fase 2 grondstoffenbeleidsplan</w:t>
            </w:r>
          </w:p>
        </w:tc>
      </w:tr>
    </w:tbl>
    <w:p w14:paraId="52210D22" w14:textId="621FBF4C" w:rsidR="00835F83" w:rsidRDefault="00835F83"/>
    <w:p w14:paraId="542EFACA" w14:textId="77777777" w:rsidR="00835F83" w:rsidRPr="004047E4" w:rsidRDefault="00835F83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295806A7" w14:textId="12C4AD73" w:rsidR="00B6055B" w:rsidRPr="00FB3F21" w:rsidRDefault="00B6055B" w:rsidP="00FB3F21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FB3F21">
        <w:rPr>
          <w:rFonts w:asciiTheme="minorHAnsi" w:eastAsia="Times New Roman" w:hAnsiTheme="minorHAnsi" w:cstheme="minorHAnsi"/>
          <w:lang w:eastAsia="nl-NL"/>
        </w:rPr>
        <w:t>De raad van de gemeente Son en Breugel</w:t>
      </w:r>
      <w:r w:rsidR="00FB3F21">
        <w:rPr>
          <w:rFonts w:asciiTheme="minorHAnsi" w:eastAsia="Times New Roman" w:hAnsiTheme="minorHAnsi" w:cstheme="minorHAnsi"/>
          <w:lang w:eastAsia="nl-NL"/>
        </w:rPr>
        <w:t>,</w:t>
      </w:r>
      <w:r w:rsidRPr="00FB3F21">
        <w:rPr>
          <w:rFonts w:asciiTheme="minorHAnsi" w:eastAsia="Times New Roman" w:hAnsiTheme="minorHAnsi" w:cstheme="minorHAnsi"/>
          <w:lang w:eastAsia="nl-NL"/>
        </w:rPr>
        <w:t xml:space="preserve"> in openbare vergadering bijeen </w:t>
      </w:r>
      <w:r w:rsidR="00D73EC6">
        <w:rPr>
          <w:rFonts w:asciiTheme="minorHAnsi" w:eastAsia="Times New Roman" w:hAnsiTheme="minorHAnsi" w:cstheme="minorHAnsi"/>
          <w:lang w:eastAsia="nl-NL"/>
        </w:rPr>
        <w:t>op 22 februari 2024;</w:t>
      </w:r>
    </w:p>
    <w:p w14:paraId="31040465" w14:textId="77777777" w:rsidR="001706E0" w:rsidRDefault="001706E0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069613B5" w14:textId="5673FDDC" w:rsidR="00120FEB" w:rsidRDefault="00120FE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120FEB">
        <w:rPr>
          <w:rFonts w:asciiTheme="minorHAnsi" w:eastAsia="Times New Roman" w:hAnsiTheme="minorHAnsi" w:cstheme="minorHAnsi"/>
          <w:lang w:eastAsia="nl-NL"/>
        </w:rPr>
        <w:t>Ge</w:t>
      </w:r>
      <w:r w:rsidR="00FB3F21">
        <w:rPr>
          <w:rFonts w:asciiTheme="minorHAnsi" w:eastAsia="Times New Roman" w:hAnsiTheme="minorHAnsi" w:cstheme="minorHAnsi"/>
          <w:lang w:eastAsia="nl-NL"/>
        </w:rPr>
        <w:t xml:space="preserve">zien </w:t>
      </w:r>
      <w:r w:rsidR="00021CA2">
        <w:rPr>
          <w:rFonts w:asciiTheme="minorHAnsi" w:eastAsia="Times New Roman" w:hAnsiTheme="minorHAnsi" w:cstheme="minorHAnsi"/>
          <w:lang w:eastAsia="nl-NL"/>
        </w:rPr>
        <w:t xml:space="preserve">het </w:t>
      </w:r>
      <w:r w:rsidR="001706E0">
        <w:rPr>
          <w:rFonts w:asciiTheme="minorHAnsi" w:eastAsia="Times New Roman" w:hAnsiTheme="minorHAnsi" w:cstheme="minorHAnsi"/>
          <w:lang w:eastAsia="nl-NL"/>
        </w:rPr>
        <w:t xml:space="preserve">voorstel van het college van burgemeester en wethouders </w:t>
      </w:r>
      <w:r w:rsidR="00D73EC6">
        <w:rPr>
          <w:rFonts w:asciiTheme="minorHAnsi" w:eastAsia="Times New Roman" w:hAnsiTheme="minorHAnsi" w:cstheme="minorHAnsi"/>
          <w:lang w:eastAsia="nl-NL"/>
        </w:rPr>
        <w:t>“Grondstoffenbeleidsplan” van 31 oktober 2023;</w:t>
      </w:r>
    </w:p>
    <w:p w14:paraId="3A5EDBEB" w14:textId="77777777" w:rsidR="007F2268" w:rsidRDefault="007F2268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60427D64" w14:textId="5D07EAD6" w:rsidR="007F2268" w:rsidRPr="004047E4" w:rsidRDefault="007F2268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Gehoord hebbende de beraadslagingen over het grondstoffenbeleidsplan in de oordeelsvormende sessie van 1 februari 2024;</w:t>
      </w:r>
    </w:p>
    <w:p w14:paraId="467EC8C5" w14:textId="77777777" w:rsidR="00EF016B" w:rsidRPr="001706E0" w:rsidRDefault="00EF016B" w:rsidP="001706E0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08E8F903" w14:textId="77777777" w:rsidR="002463AA" w:rsidRPr="00120FEB" w:rsidRDefault="00957C0A" w:rsidP="006D6EE6">
      <w:pPr>
        <w:spacing w:after="0"/>
      </w:pPr>
      <w:r w:rsidRPr="004047E4">
        <w:rPr>
          <w:b/>
        </w:rPr>
        <w:t>Overwegende dat</w:t>
      </w:r>
      <w:r w:rsidR="001D52D3" w:rsidRPr="004047E4">
        <w:rPr>
          <w:b/>
        </w:rPr>
        <w:t>:</w:t>
      </w:r>
    </w:p>
    <w:p w14:paraId="6CA5AF45" w14:textId="492375CB" w:rsidR="00120FEB" w:rsidRDefault="00D73EC6" w:rsidP="00120FEB">
      <w:pPr>
        <w:pStyle w:val="Lijstalinea"/>
        <w:numPr>
          <w:ilvl w:val="0"/>
          <w:numId w:val="17"/>
        </w:numPr>
        <w:spacing w:after="0"/>
      </w:pPr>
      <w:r>
        <w:t xml:space="preserve">De uiteindelijke Gemeenschappelijke Regeling Blink na de ontvlechting met </w:t>
      </w:r>
      <w:proofErr w:type="spellStart"/>
      <w:r>
        <w:t>PreZero</w:t>
      </w:r>
      <w:proofErr w:type="spellEnd"/>
      <w:r>
        <w:t xml:space="preserve"> nog niet is vastgesteld in de deelnemende gemeenten;</w:t>
      </w:r>
    </w:p>
    <w:p w14:paraId="4D6DA1DA" w14:textId="13095A8C" w:rsidR="00D73EC6" w:rsidRDefault="00D73EC6" w:rsidP="00120FEB">
      <w:pPr>
        <w:pStyle w:val="Lijstalinea"/>
        <w:numPr>
          <w:ilvl w:val="0"/>
          <w:numId w:val="17"/>
        </w:numPr>
        <w:spacing w:after="0"/>
      </w:pPr>
      <w:r>
        <w:t>De opbouw van de organisatie Blink nog niet is afgerond;</w:t>
      </w:r>
    </w:p>
    <w:p w14:paraId="74C2E29F" w14:textId="5ADE9215" w:rsidR="00D73EC6" w:rsidRDefault="00D73EC6" w:rsidP="00120FEB">
      <w:pPr>
        <w:pStyle w:val="Lijstalinea"/>
        <w:numPr>
          <w:ilvl w:val="0"/>
          <w:numId w:val="17"/>
        </w:numPr>
        <w:spacing w:after="0"/>
      </w:pPr>
      <w:r>
        <w:t>De strategie van Blink en de daarmee samenhangende financiële consequenties voor deelnemende gemeenten nog onbekend zijn;</w:t>
      </w:r>
    </w:p>
    <w:p w14:paraId="25D5857A" w14:textId="25B3A097" w:rsidR="00D73EC6" w:rsidRPr="00120FEB" w:rsidRDefault="00D73EC6" w:rsidP="00120FEB">
      <w:pPr>
        <w:pStyle w:val="Lijstalinea"/>
        <w:numPr>
          <w:ilvl w:val="0"/>
          <w:numId w:val="17"/>
        </w:numPr>
        <w:spacing w:after="0"/>
      </w:pPr>
      <w:r>
        <w:t>Het uitvoeringsbeleid tussen gemeenten en Blink nog niet is vastgesteld;</w:t>
      </w:r>
    </w:p>
    <w:p w14:paraId="3EDED2A1" w14:textId="77777777" w:rsidR="00B6055B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2DAC4966" w14:textId="77777777" w:rsidR="00FB3F21" w:rsidRPr="004047E4" w:rsidRDefault="00FB3F21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458898FC" w14:textId="77777777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b/>
          <w:lang w:eastAsia="nl-NL"/>
        </w:rPr>
      </w:pPr>
      <w:r w:rsidRPr="004047E4">
        <w:rPr>
          <w:rFonts w:asciiTheme="minorHAnsi" w:eastAsia="Times New Roman" w:hAnsiTheme="minorHAnsi" w:cstheme="minorHAnsi"/>
          <w:b/>
          <w:lang w:eastAsia="nl-NL"/>
        </w:rPr>
        <w:t>BESLUIT:</w:t>
      </w:r>
    </w:p>
    <w:p w14:paraId="2461DE9B" w14:textId="64BCB1F6" w:rsidR="00B6055B" w:rsidRPr="004047E4" w:rsidRDefault="00B6055B" w:rsidP="006D6EE6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047E4">
        <w:rPr>
          <w:rFonts w:asciiTheme="minorHAnsi" w:eastAsia="Times New Roman" w:hAnsiTheme="minorHAnsi" w:cstheme="minorHAnsi"/>
          <w:lang w:eastAsia="nl-NL"/>
        </w:rPr>
        <w:t xml:space="preserve">Het </w:t>
      </w:r>
      <w:r w:rsidR="00AC608E">
        <w:rPr>
          <w:rFonts w:asciiTheme="minorHAnsi" w:eastAsia="Times New Roman" w:hAnsiTheme="minorHAnsi" w:cstheme="minorHAnsi"/>
          <w:lang w:eastAsia="nl-NL"/>
        </w:rPr>
        <w:t xml:space="preserve">voorgestelde besluit van het </w:t>
      </w:r>
      <w:r w:rsidRPr="004047E4">
        <w:rPr>
          <w:rFonts w:asciiTheme="minorHAnsi" w:eastAsia="Times New Roman" w:hAnsiTheme="minorHAnsi" w:cstheme="minorHAnsi"/>
          <w:lang w:eastAsia="nl-NL"/>
        </w:rPr>
        <w:t xml:space="preserve">college van burgemeester en wethouders </w:t>
      </w:r>
      <w:r w:rsidR="008C55F8">
        <w:rPr>
          <w:rFonts w:asciiTheme="minorHAnsi" w:eastAsia="Times New Roman" w:hAnsiTheme="minorHAnsi" w:cstheme="minorHAnsi"/>
          <w:lang w:eastAsia="nl-NL"/>
        </w:rPr>
        <w:t>in die zin aan te passen dat als beslispunt 2 wordt toegevoegd:</w:t>
      </w:r>
    </w:p>
    <w:p w14:paraId="150F477A" w14:textId="00DB9493" w:rsidR="005E64C8" w:rsidRDefault="008C55F8" w:rsidP="00ED61B4">
      <w:pPr>
        <w:spacing w:after="0"/>
        <w:ind w:left="708" w:firstLine="2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 xml:space="preserve">2. Alvorens over te gaan tot de uitvoering van fase 2, </w:t>
      </w:r>
      <w:r w:rsidR="00ED61B4">
        <w:rPr>
          <w:rFonts w:asciiTheme="minorHAnsi" w:eastAsia="Times New Roman" w:hAnsiTheme="minorHAnsi" w:cstheme="minorHAnsi"/>
          <w:lang w:eastAsia="nl-NL"/>
        </w:rPr>
        <w:t>wordt de nadere invulling van deze fase voor besluitvorming voorgelegd aan de gemeenteraad</w:t>
      </w:r>
      <w:r w:rsidR="00055D87">
        <w:rPr>
          <w:rFonts w:asciiTheme="minorHAnsi" w:eastAsia="Times New Roman" w:hAnsiTheme="minorHAnsi" w:cstheme="minorHAnsi"/>
          <w:lang w:eastAsia="nl-NL"/>
        </w:rPr>
        <w:t xml:space="preserve"> ten minste drie maanden vóór het einde van fase 1.</w:t>
      </w:r>
      <w:r>
        <w:rPr>
          <w:rFonts w:asciiTheme="minorHAnsi" w:eastAsia="Times New Roman" w:hAnsiTheme="minorHAnsi" w:cstheme="minorHAnsi"/>
          <w:lang w:eastAsia="nl-NL"/>
        </w:rPr>
        <w:t xml:space="preserve"> </w:t>
      </w:r>
    </w:p>
    <w:p w14:paraId="1A28A1EA" w14:textId="77777777" w:rsidR="001706E0" w:rsidRPr="001706E0" w:rsidRDefault="001706E0" w:rsidP="002574A2">
      <w:pPr>
        <w:pStyle w:val="Lijstalinea"/>
        <w:spacing w:after="0"/>
        <w:ind w:left="360"/>
        <w:rPr>
          <w:rFonts w:asciiTheme="minorHAnsi" w:eastAsia="Times New Roman" w:hAnsiTheme="minorHAnsi" w:cstheme="minorHAnsi"/>
          <w:color w:val="4F81BD" w:themeColor="accent1"/>
          <w:lang w:eastAsia="nl-NL"/>
        </w:rPr>
      </w:pPr>
    </w:p>
    <w:p w14:paraId="23D85112" w14:textId="77777777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047E4">
        <w:rPr>
          <w:rFonts w:asciiTheme="minorHAnsi" w:eastAsia="Times New Roman" w:hAnsiTheme="minorHAnsi" w:cstheme="minorHAnsi"/>
          <w:lang w:eastAsia="nl-NL"/>
        </w:rPr>
        <w:t>En gaat over tot de orde van de dag.</w:t>
      </w:r>
    </w:p>
    <w:p w14:paraId="3CAAE8D2" w14:textId="77777777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2E06016B" w14:textId="19D7ADAE" w:rsidR="001706E0" w:rsidRDefault="00B6055B" w:rsidP="008C55F8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047E4">
        <w:rPr>
          <w:rFonts w:asciiTheme="minorHAnsi" w:eastAsia="Times New Roman" w:hAnsiTheme="minorHAnsi" w:cstheme="minorHAnsi"/>
          <w:lang w:eastAsia="nl-NL"/>
        </w:rPr>
        <w:t xml:space="preserve">Son en Breugel, </w:t>
      </w:r>
      <w:r w:rsidR="008C55F8">
        <w:rPr>
          <w:rFonts w:asciiTheme="minorHAnsi" w:eastAsia="Times New Roman" w:hAnsiTheme="minorHAnsi" w:cstheme="minorHAnsi"/>
          <w:lang w:eastAsia="nl-NL"/>
        </w:rPr>
        <w:t>22 februari 2024</w:t>
      </w:r>
    </w:p>
    <w:p w14:paraId="5499731D" w14:textId="726D4744" w:rsidR="008C55F8" w:rsidRDefault="008C55F8" w:rsidP="008C55F8">
      <w:pPr>
        <w:spacing w:after="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Fractie</w:t>
      </w:r>
      <w:r w:rsidR="00055D87">
        <w:rPr>
          <w:rFonts w:asciiTheme="minorHAnsi" w:eastAsia="Times New Roman" w:hAnsiTheme="minorHAnsi" w:cstheme="minorHAnsi"/>
          <w:lang w:eastAsia="nl-NL"/>
        </w:rPr>
        <w:t>s</w:t>
      </w:r>
      <w:r>
        <w:rPr>
          <w:rFonts w:asciiTheme="minorHAnsi" w:eastAsia="Times New Roman" w:hAnsiTheme="minorHAnsi" w:cstheme="minorHAnsi"/>
          <w:lang w:eastAsia="nl-NL"/>
        </w:rPr>
        <w:t xml:space="preserve"> CDA</w:t>
      </w:r>
      <w:r w:rsidR="00C803F4">
        <w:rPr>
          <w:rFonts w:asciiTheme="minorHAnsi" w:eastAsia="Times New Roman" w:hAnsiTheme="minorHAnsi" w:cstheme="minorHAnsi"/>
          <w:lang w:eastAsia="nl-NL"/>
        </w:rPr>
        <w:t xml:space="preserve"> en</w:t>
      </w:r>
      <w:r>
        <w:rPr>
          <w:rFonts w:asciiTheme="minorHAnsi" w:eastAsia="Times New Roman" w:hAnsiTheme="minorHAnsi" w:cstheme="minorHAnsi"/>
          <w:lang w:eastAsia="nl-NL"/>
        </w:rPr>
        <w:t xml:space="preserve"> </w:t>
      </w:r>
      <w:r w:rsidR="00055D87">
        <w:rPr>
          <w:rFonts w:asciiTheme="minorHAnsi" w:eastAsia="Times New Roman" w:hAnsiTheme="minorHAnsi" w:cstheme="minorHAnsi"/>
          <w:lang w:eastAsia="nl-NL"/>
        </w:rPr>
        <w:t xml:space="preserve">DorpsVisie </w:t>
      </w:r>
    </w:p>
    <w:p w14:paraId="07ADBCDB" w14:textId="77777777" w:rsidR="008C55F8" w:rsidRPr="008C55F8" w:rsidRDefault="008C55F8" w:rsidP="008C55F8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sectPr w:rsidR="008C55F8" w:rsidRPr="008C55F8" w:rsidSect="00D73EC6">
      <w:footerReference w:type="default" r:id="rId10"/>
      <w:footerReference w:type="first" r:id="rId11"/>
      <w:pgSz w:w="11907" w:h="16840"/>
      <w:pgMar w:top="1418" w:right="1418" w:bottom="1418" w:left="1418" w:header="708" w:footer="708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4CBB" w14:textId="77777777" w:rsidR="00D73EC6" w:rsidRDefault="00D73EC6">
      <w:pPr>
        <w:spacing w:after="0" w:line="240" w:lineRule="auto"/>
      </w:pPr>
      <w:r>
        <w:separator/>
      </w:r>
    </w:p>
  </w:endnote>
  <w:endnote w:type="continuationSeparator" w:id="0">
    <w:p w14:paraId="343C51E8" w14:textId="77777777" w:rsidR="00D73EC6" w:rsidRDefault="00D7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7E28" w14:textId="77777777" w:rsidR="00835F83" w:rsidRDefault="00B6055B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A008737" w14:textId="77777777" w:rsidR="00835F83" w:rsidRDefault="00835F8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383F" w14:textId="77777777" w:rsidR="00835F83" w:rsidRDefault="00B6055B">
    <w:pPr>
      <w:pStyle w:val="Voettekst"/>
      <w:rPr>
        <w:sz w:val="16"/>
        <w:szCs w:val="16"/>
      </w:rPr>
    </w:pPr>
    <w:r>
      <w:rPr>
        <w:sz w:val="16"/>
        <w:szCs w:val="16"/>
      </w:rPr>
      <w:fldChar w:fldCharType="begin" w:fldLock="1"/>
    </w:r>
    <w:r w:rsidRPr="00DC7DBA">
      <w:rPr>
        <w:sz w:val="16"/>
        <w:szCs w:val="16"/>
      </w:rPr>
      <w:instrText xml:space="preserve"> mitP0 BLANCO \* MERGEFORMAT 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F57C" w14:textId="77777777" w:rsidR="00D73EC6" w:rsidRDefault="00D73EC6">
      <w:pPr>
        <w:spacing w:after="0" w:line="240" w:lineRule="auto"/>
      </w:pPr>
      <w:r>
        <w:separator/>
      </w:r>
    </w:p>
  </w:footnote>
  <w:footnote w:type="continuationSeparator" w:id="0">
    <w:p w14:paraId="6CA1A03A" w14:textId="77777777" w:rsidR="00D73EC6" w:rsidRDefault="00D7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79A"/>
    <w:multiLevelType w:val="hybridMultilevel"/>
    <w:tmpl w:val="5BE84E76"/>
    <w:styleLink w:val="Gemporteerdestijl1"/>
    <w:lvl w:ilvl="0" w:tplc="9C8C19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09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C8D12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08EC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66452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E43A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ECC9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041B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801A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030332"/>
    <w:multiLevelType w:val="hybridMultilevel"/>
    <w:tmpl w:val="F224D78C"/>
    <w:lvl w:ilvl="0" w:tplc="F06CE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5903"/>
    <w:multiLevelType w:val="hybridMultilevel"/>
    <w:tmpl w:val="1EE834A0"/>
    <w:lvl w:ilvl="0" w:tplc="1BE686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01848"/>
    <w:multiLevelType w:val="hybridMultilevel"/>
    <w:tmpl w:val="E0BA0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2EB"/>
    <w:multiLevelType w:val="hybridMultilevel"/>
    <w:tmpl w:val="DEF88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14684"/>
    <w:multiLevelType w:val="hybridMultilevel"/>
    <w:tmpl w:val="0E2AA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31F2"/>
    <w:multiLevelType w:val="hybridMultilevel"/>
    <w:tmpl w:val="614403D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65B3A"/>
    <w:multiLevelType w:val="hybridMultilevel"/>
    <w:tmpl w:val="3506B1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2C0E"/>
    <w:multiLevelType w:val="hybridMultilevel"/>
    <w:tmpl w:val="8BBE80BE"/>
    <w:styleLink w:val="Alfabetisch"/>
    <w:lvl w:ilvl="0" w:tplc="8A8478C6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23028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A097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22574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18A1E8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64E4D2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397C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A5814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C6B22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3C434E"/>
    <w:multiLevelType w:val="hybridMultilevel"/>
    <w:tmpl w:val="5B205E6C"/>
    <w:lvl w:ilvl="0" w:tplc="EC52B1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E4459"/>
    <w:multiLevelType w:val="hybridMultilevel"/>
    <w:tmpl w:val="FE6280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D34D7"/>
    <w:multiLevelType w:val="hybridMultilevel"/>
    <w:tmpl w:val="5BE84E76"/>
    <w:numStyleLink w:val="Gemporteerdestijl1"/>
  </w:abstractNum>
  <w:abstractNum w:abstractNumId="12" w15:restartNumberingAfterBreak="0">
    <w:nsid w:val="63685D32"/>
    <w:multiLevelType w:val="hybridMultilevel"/>
    <w:tmpl w:val="043CC3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6F04"/>
    <w:multiLevelType w:val="hybridMultilevel"/>
    <w:tmpl w:val="8BBE80BE"/>
    <w:numStyleLink w:val="Alfabetisch"/>
  </w:abstractNum>
  <w:abstractNum w:abstractNumId="14" w15:restartNumberingAfterBreak="0">
    <w:nsid w:val="739A3538"/>
    <w:multiLevelType w:val="hybridMultilevel"/>
    <w:tmpl w:val="BA48DB44"/>
    <w:lvl w:ilvl="0" w:tplc="957EA4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94654"/>
    <w:multiLevelType w:val="hybridMultilevel"/>
    <w:tmpl w:val="66EA8266"/>
    <w:lvl w:ilvl="0" w:tplc="428C6844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CA220B"/>
    <w:multiLevelType w:val="hybridMultilevel"/>
    <w:tmpl w:val="845EA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27377"/>
    <w:multiLevelType w:val="multilevel"/>
    <w:tmpl w:val="B64C20B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403067132">
    <w:abstractNumId w:val="9"/>
  </w:num>
  <w:num w:numId="2" w16cid:durableId="1985889132">
    <w:abstractNumId w:val="1"/>
  </w:num>
  <w:num w:numId="3" w16cid:durableId="414593248">
    <w:abstractNumId w:val="2"/>
  </w:num>
  <w:num w:numId="4" w16cid:durableId="1924606862">
    <w:abstractNumId w:val="10"/>
  </w:num>
  <w:num w:numId="5" w16cid:durableId="1216969654">
    <w:abstractNumId w:val="14"/>
  </w:num>
  <w:num w:numId="6" w16cid:durableId="1348678216">
    <w:abstractNumId w:val="3"/>
  </w:num>
  <w:num w:numId="7" w16cid:durableId="1651667375">
    <w:abstractNumId w:val="7"/>
  </w:num>
  <w:num w:numId="8" w16cid:durableId="331879650">
    <w:abstractNumId w:val="5"/>
  </w:num>
  <w:num w:numId="9" w16cid:durableId="55396827">
    <w:abstractNumId w:val="17"/>
  </w:num>
  <w:num w:numId="10" w16cid:durableId="1286154252">
    <w:abstractNumId w:val="4"/>
  </w:num>
  <w:num w:numId="11" w16cid:durableId="1425687923">
    <w:abstractNumId w:val="16"/>
  </w:num>
  <w:num w:numId="12" w16cid:durableId="2128041777">
    <w:abstractNumId w:val="0"/>
  </w:num>
  <w:num w:numId="13" w16cid:durableId="737900514">
    <w:abstractNumId w:val="11"/>
  </w:num>
  <w:num w:numId="14" w16cid:durableId="1656569639">
    <w:abstractNumId w:val="8"/>
  </w:num>
  <w:num w:numId="15" w16cid:durableId="2064677089">
    <w:abstractNumId w:val="13"/>
  </w:num>
  <w:num w:numId="16" w16cid:durableId="80300546">
    <w:abstractNumId w:val="12"/>
  </w:num>
  <w:num w:numId="17" w16cid:durableId="1102725271">
    <w:abstractNumId w:val="6"/>
  </w:num>
  <w:num w:numId="18" w16cid:durableId="18551431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C6"/>
    <w:rsid w:val="000068DC"/>
    <w:rsid w:val="00021CA2"/>
    <w:rsid w:val="00045C1B"/>
    <w:rsid w:val="00046FCA"/>
    <w:rsid w:val="00055D87"/>
    <w:rsid w:val="00070DE6"/>
    <w:rsid w:val="0007711B"/>
    <w:rsid w:val="00077534"/>
    <w:rsid w:val="000833FB"/>
    <w:rsid w:val="00094C40"/>
    <w:rsid w:val="000A0E8E"/>
    <w:rsid w:val="000B765A"/>
    <w:rsid w:val="000F3460"/>
    <w:rsid w:val="000F6BB5"/>
    <w:rsid w:val="00120FEB"/>
    <w:rsid w:val="00121BDC"/>
    <w:rsid w:val="00143897"/>
    <w:rsid w:val="001706E0"/>
    <w:rsid w:val="001764C9"/>
    <w:rsid w:val="0018461A"/>
    <w:rsid w:val="00195A82"/>
    <w:rsid w:val="001960D0"/>
    <w:rsid w:val="001B4783"/>
    <w:rsid w:val="001C3A60"/>
    <w:rsid w:val="001D2F0F"/>
    <w:rsid w:val="001D52D3"/>
    <w:rsid w:val="001E16E7"/>
    <w:rsid w:val="00206201"/>
    <w:rsid w:val="00220395"/>
    <w:rsid w:val="00232B89"/>
    <w:rsid w:val="002445FF"/>
    <w:rsid w:val="002463AA"/>
    <w:rsid w:val="002574A2"/>
    <w:rsid w:val="00263C93"/>
    <w:rsid w:val="00275550"/>
    <w:rsid w:val="002C6485"/>
    <w:rsid w:val="002E30EC"/>
    <w:rsid w:val="002E791B"/>
    <w:rsid w:val="002F494A"/>
    <w:rsid w:val="00330E9E"/>
    <w:rsid w:val="00340EBF"/>
    <w:rsid w:val="00373194"/>
    <w:rsid w:val="003A7172"/>
    <w:rsid w:val="003B6A35"/>
    <w:rsid w:val="003C0B50"/>
    <w:rsid w:val="003C51B5"/>
    <w:rsid w:val="00400547"/>
    <w:rsid w:val="004047E4"/>
    <w:rsid w:val="00413DAF"/>
    <w:rsid w:val="00415671"/>
    <w:rsid w:val="0041586F"/>
    <w:rsid w:val="00425F1D"/>
    <w:rsid w:val="00427C4A"/>
    <w:rsid w:val="0043382D"/>
    <w:rsid w:val="00435922"/>
    <w:rsid w:val="004470C3"/>
    <w:rsid w:val="00451DE0"/>
    <w:rsid w:val="004605D3"/>
    <w:rsid w:val="004619A3"/>
    <w:rsid w:val="00470554"/>
    <w:rsid w:val="004C6CFA"/>
    <w:rsid w:val="004D53C3"/>
    <w:rsid w:val="004E072F"/>
    <w:rsid w:val="004F600D"/>
    <w:rsid w:val="00534EBA"/>
    <w:rsid w:val="00542F6A"/>
    <w:rsid w:val="005541A9"/>
    <w:rsid w:val="005670AD"/>
    <w:rsid w:val="005A247A"/>
    <w:rsid w:val="005C1C9D"/>
    <w:rsid w:val="005C664A"/>
    <w:rsid w:val="005E64C8"/>
    <w:rsid w:val="005F5442"/>
    <w:rsid w:val="00601BA6"/>
    <w:rsid w:val="00604B4F"/>
    <w:rsid w:val="00616F1B"/>
    <w:rsid w:val="00626B7D"/>
    <w:rsid w:val="00627F3D"/>
    <w:rsid w:val="006465E6"/>
    <w:rsid w:val="0067572B"/>
    <w:rsid w:val="006757BE"/>
    <w:rsid w:val="006813D2"/>
    <w:rsid w:val="00690CAE"/>
    <w:rsid w:val="006B3057"/>
    <w:rsid w:val="006D6EE6"/>
    <w:rsid w:val="006E5EB8"/>
    <w:rsid w:val="006F052B"/>
    <w:rsid w:val="006F42EC"/>
    <w:rsid w:val="0071631F"/>
    <w:rsid w:val="00730783"/>
    <w:rsid w:val="00734954"/>
    <w:rsid w:val="00743920"/>
    <w:rsid w:val="0076482F"/>
    <w:rsid w:val="00782870"/>
    <w:rsid w:val="007A2218"/>
    <w:rsid w:val="007C5B28"/>
    <w:rsid w:val="007C6575"/>
    <w:rsid w:val="007F2268"/>
    <w:rsid w:val="00805A63"/>
    <w:rsid w:val="0081540A"/>
    <w:rsid w:val="00823C53"/>
    <w:rsid w:val="008306EB"/>
    <w:rsid w:val="0083421A"/>
    <w:rsid w:val="00835F83"/>
    <w:rsid w:val="008400BF"/>
    <w:rsid w:val="00843077"/>
    <w:rsid w:val="00853F6E"/>
    <w:rsid w:val="0086116E"/>
    <w:rsid w:val="00870A7F"/>
    <w:rsid w:val="00871B95"/>
    <w:rsid w:val="008B2CB7"/>
    <w:rsid w:val="008C2849"/>
    <w:rsid w:val="008C55F8"/>
    <w:rsid w:val="00911686"/>
    <w:rsid w:val="0091553C"/>
    <w:rsid w:val="0093259A"/>
    <w:rsid w:val="00950155"/>
    <w:rsid w:val="00952FB8"/>
    <w:rsid w:val="00953D50"/>
    <w:rsid w:val="00957C0A"/>
    <w:rsid w:val="009717D2"/>
    <w:rsid w:val="00986355"/>
    <w:rsid w:val="009944CD"/>
    <w:rsid w:val="009D472D"/>
    <w:rsid w:val="00A0609E"/>
    <w:rsid w:val="00A1632D"/>
    <w:rsid w:val="00A51086"/>
    <w:rsid w:val="00A577FA"/>
    <w:rsid w:val="00A610BB"/>
    <w:rsid w:val="00A7210B"/>
    <w:rsid w:val="00A90C56"/>
    <w:rsid w:val="00A91AA6"/>
    <w:rsid w:val="00A928A2"/>
    <w:rsid w:val="00AB7FA5"/>
    <w:rsid w:val="00AC10E5"/>
    <w:rsid w:val="00AC1D60"/>
    <w:rsid w:val="00AC3569"/>
    <w:rsid w:val="00AC3C8B"/>
    <w:rsid w:val="00AC608E"/>
    <w:rsid w:val="00AF0B42"/>
    <w:rsid w:val="00AF3E55"/>
    <w:rsid w:val="00B00CD3"/>
    <w:rsid w:val="00B213C2"/>
    <w:rsid w:val="00B3482F"/>
    <w:rsid w:val="00B50B8B"/>
    <w:rsid w:val="00B50C98"/>
    <w:rsid w:val="00B53A46"/>
    <w:rsid w:val="00B547F5"/>
    <w:rsid w:val="00B6055B"/>
    <w:rsid w:val="00BA3B8F"/>
    <w:rsid w:val="00BD54B1"/>
    <w:rsid w:val="00BE09C0"/>
    <w:rsid w:val="00BF447D"/>
    <w:rsid w:val="00BF7297"/>
    <w:rsid w:val="00C15F0D"/>
    <w:rsid w:val="00C21BEA"/>
    <w:rsid w:val="00C330F2"/>
    <w:rsid w:val="00C4165C"/>
    <w:rsid w:val="00C62A15"/>
    <w:rsid w:val="00C63D01"/>
    <w:rsid w:val="00C803F4"/>
    <w:rsid w:val="00C8731A"/>
    <w:rsid w:val="00C90C44"/>
    <w:rsid w:val="00C92FC6"/>
    <w:rsid w:val="00C964F8"/>
    <w:rsid w:val="00CA403C"/>
    <w:rsid w:val="00CD08EE"/>
    <w:rsid w:val="00CD1043"/>
    <w:rsid w:val="00CF3FB5"/>
    <w:rsid w:val="00D000E0"/>
    <w:rsid w:val="00D03360"/>
    <w:rsid w:val="00D13874"/>
    <w:rsid w:val="00D25611"/>
    <w:rsid w:val="00D51602"/>
    <w:rsid w:val="00D5372D"/>
    <w:rsid w:val="00D6796B"/>
    <w:rsid w:val="00D70691"/>
    <w:rsid w:val="00D73EC6"/>
    <w:rsid w:val="00D9384B"/>
    <w:rsid w:val="00D95BB8"/>
    <w:rsid w:val="00DA00F3"/>
    <w:rsid w:val="00DA5B17"/>
    <w:rsid w:val="00DC0F71"/>
    <w:rsid w:val="00DC316D"/>
    <w:rsid w:val="00DC7541"/>
    <w:rsid w:val="00DE1D46"/>
    <w:rsid w:val="00DF0F0E"/>
    <w:rsid w:val="00DF7FCF"/>
    <w:rsid w:val="00E547CE"/>
    <w:rsid w:val="00E816B7"/>
    <w:rsid w:val="00E84B73"/>
    <w:rsid w:val="00EB4A19"/>
    <w:rsid w:val="00ED61B4"/>
    <w:rsid w:val="00EE41FA"/>
    <w:rsid w:val="00EF016B"/>
    <w:rsid w:val="00F17B7D"/>
    <w:rsid w:val="00F30490"/>
    <w:rsid w:val="00F30A66"/>
    <w:rsid w:val="00F47120"/>
    <w:rsid w:val="00F52742"/>
    <w:rsid w:val="00F55099"/>
    <w:rsid w:val="00F65B40"/>
    <w:rsid w:val="00F72386"/>
    <w:rsid w:val="00F75367"/>
    <w:rsid w:val="00FB3F21"/>
    <w:rsid w:val="00FD554B"/>
    <w:rsid w:val="00FD5A02"/>
    <w:rsid w:val="00FE0A6B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BFCB"/>
  <w15:chartTrackingRefBased/>
  <w15:docId w15:val="{63636AE3-7D1F-458E-814F-1C8E659C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55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B6055B"/>
  </w:style>
  <w:style w:type="paragraph" w:styleId="Voettekst">
    <w:name w:val="footer"/>
    <w:basedOn w:val="Standaard"/>
    <w:link w:val="VoettekstChar"/>
    <w:rsid w:val="00B605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6055B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B605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4B7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4B73"/>
    <w:rPr>
      <w:color w:val="800080" w:themeColor="followedHyperlink"/>
      <w:u w:val="single"/>
    </w:rPr>
  </w:style>
  <w:style w:type="character" w:customStyle="1" w:styleId="pspdfkit-6fq5ysqkmc2gc1fek9b659qfh8">
    <w:name w:val="pspdfkit-6fq5ysqkmc2gc1fek9b659qfh8"/>
    <w:basedOn w:val="Standaardalinea-lettertype"/>
    <w:rsid w:val="00CD1043"/>
  </w:style>
  <w:style w:type="paragraph" w:styleId="Geenafstand">
    <w:name w:val="No Spacing"/>
    <w:rsid w:val="00120F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nl-NL"/>
    </w:rPr>
  </w:style>
  <w:style w:type="numbering" w:customStyle="1" w:styleId="Gemporteerdestijl1">
    <w:name w:val="Geïmporteerde stijl 1"/>
    <w:rsid w:val="00120FEB"/>
    <w:pPr>
      <w:numPr>
        <w:numId w:val="12"/>
      </w:numPr>
    </w:pPr>
  </w:style>
  <w:style w:type="numbering" w:customStyle="1" w:styleId="Alfabetisch">
    <w:name w:val="Alfabetisch"/>
    <w:rsid w:val="00120FEB"/>
    <w:pPr>
      <w:numPr>
        <w:numId w:val="14"/>
      </w:numPr>
    </w:pPr>
  </w:style>
  <w:style w:type="paragraph" w:styleId="Revisie">
    <w:name w:val="Revision"/>
    <w:hidden/>
    <w:uiPriority w:val="99"/>
    <w:semiHidden/>
    <w:rsid w:val="00120FEB"/>
    <w:pPr>
      <w:spacing w:after="0" w:line="240" w:lineRule="auto"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04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3049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30490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4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490"/>
    <w:rPr>
      <w:rFonts w:ascii="Calibri" w:eastAsia="Calibri" w:hAnsi="Calibri" w:cs="Times New Roman"/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02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6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riffie%20Son%20en%20Breugel\015%20Moties,%20Amendementen%20en%20Initiatiefvoorstellen\Amendementen\AMENDEMENT%20forma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6EB6-4154-4850-A519-EA8A67E2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AMENDEMENT format</Template>
  <TotalTime>3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Weerts</dc:creator>
  <cp:keywords/>
  <dc:description/>
  <cp:lastModifiedBy>Moniek Weerts</cp:lastModifiedBy>
  <cp:revision>4</cp:revision>
  <dcterms:created xsi:type="dcterms:W3CDTF">2024-02-20T15:39:00Z</dcterms:created>
  <dcterms:modified xsi:type="dcterms:W3CDTF">2024-02-22T21:01:00Z</dcterms:modified>
</cp:coreProperties>
</file>